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6F" w:rsidRDefault="000A046F" w:rsidP="00751161">
      <w:pPr>
        <w:spacing w:after="120" w:line="288" w:lineRule="auto"/>
        <w:jc w:val="both"/>
        <w:rPr>
          <w:rFonts w:ascii="Arial" w:hAnsi="Arial" w:cs="Arial"/>
          <w:b/>
        </w:rPr>
      </w:pPr>
      <w:r w:rsidRPr="00A94BDB">
        <w:rPr>
          <w:rFonts w:ascii="Arial" w:hAnsi="Arial" w:cs="Arial"/>
          <w:b/>
        </w:rPr>
        <w:t>Riziková území při extrémních srážkách – nahradit stávající dokument na webu</w:t>
      </w:r>
      <w:r>
        <w:rPr>
          <w:rFonts w:ascii="Arial" w:hAnsi="Arial" w:cs="Arial"/>
          <w:b/>
        </w:rPr>
        <w:t xml:space="preserve"> (původní znění odstranit).</w:t>
      </w:r>
    </w:p>
    <w:p w:rsidR="000A046F" w:rsidRPr="00A94BDB" w:rsidRDefault="000A046F" w:rsidP="00751161">
      <w:pPr>
        <w:spacing w:after="120" w:line="288" w:lineRule="auto"/>
        <w:jc w:val="both"/>
        <w:rPr>
          <w:rFonts w:ascii="Arial" w:hAnsi="Arial" w:cs="Arial"/>
          <w:b/>
          <w:sz w:val="24"/>
          <w:szCs w:val="24"/>
        </w:rPr>
      </w:pP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 xml:space="preserve">Město Olomouc řeší komplexně ochranu obyvatelstva a jejich nemovitostí před povodněmi. Ochrana nemovitostí v záplavovém území toků je řešena ve spolupráci </w:t>
      </w:r>
      <w:r>
        <w:rPr>
          <w:rFonts w:ascii="Arial" w:hAnsi="Arial" w:cs="Arial"/>
          <w:sz w:val="24"/>
          <w:szCs w:val="24"/>
        </w:rPr>
        <w:t xml:space="preserve">  </w:t>
      </w:r>
      <w:r w:rsidRPr="0041233D">
        <w:rPr>
          <w:rFonts w:ascii="Arial" w:hAnsi="Arial" w:cs="Arial"/>
          <w:sz w:val="24"/>
          <w:szCs w:val="24"/>
        </w:rPr>
        <w:t>s Povodím Moravy s.p. jako správcem toku.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 xml:space="preserve">Kromě povodní, k nimž dochází při povodňových situací, za kterých vodní toky opustí svá koryta, jsou fenoménem poslední doby </w:t>
      </w:r>
      <w:r w:rsidRPr="0041233D">
        <w:rPr>
          <w:rFonts w:ascii="Arial" w:hAnsi="Arial" w:cs="Arial"/>
          <w:b/>
          <w:sz w:val="24"/>
          <w:szCs w:val="24"/>
        </w:rPr>
        <w:t>povrchové odtoky v krajině</w:t>
      </w:r>
      <w:r w:rsidRPr="0041233D">
        <w:rPr>
          <w:rFonts w:ascii="Arial" w:hAnsi="Arial" w:cs="Arial"/>
          <w:sz w:val="24"/>
          <w:szCs w:val="24"/>
        </w:rPr>
        <w:t xml:space="preserve">. Dochází k nim při extrémních přívalových srážkách v důsledku nevhodného hospodaření v krajině (na orné půdě i v lesích). Jejich výsledkem je nejen poškození zemědělské a lesní půdy vodní erozí ale i zatopení okrajových částí města </w:t>
      </w:r>
      <w:r w:rsidRPr="0041233D">
        <w:rPr>
          <w:rFonts w:ascii="Arial" w:hAnsi="Arial" w:cs="Arial"/>
          <w:b/>
          <w:sz w:val="24"/>
          <w:szCs w:val="24"/>
        </w:rPr>
        <w:t>přívalovými povodněmi</w:t>
      </w:r>
      <w:r w:rsidRPr="0041233D">
        <w:rPr>
          <w:rFonts w:ascii="Arial" w:hAnsi="Arial" w:cs="Arial"/>
          <w:sz w:val="24"/>
          <w:szCs w:val="24"/>
        </w:rPr>
        <w:t>, které unášejí ornici.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 xml:space="preserve">Odbor ochrany proto v roce 2018 pořídil </w:t>
      </w:r>
      <w:r w:rsidRPr="0041233D">
        <w:rPr>
          <w:rFonts w:ascii="Arial" w:hAnsi="Arial" w:cs="Arial"/>
          <w:b/>
          <w:sz w:val="24"/>
          <w:szCs w:val="24"/>
        </w:rPr>
        <w:t xml:space="preserve">studii „Riziková území při extrémních přívalových srážkách“. </w:t>
      </w:r>
      <w:r w:rsidRPr="0041233D">
        <w:rPr>
          <w:rFonts w:ascii="Arial" w:hAnsi="Arial" w:cs="Arial"/>
          <w:sz w:val="24"/>
          <w:szCs w:val="24"/>
        </w:rPr>
        <w:t>Ta definovala kritická místa (kritické body), kde může docházet při vstupu povrchových vod do intravilánu města k ohrožení nemovitostí.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 xml:space="preserve">Z této studie bylo vybráno 10 nejrizikovějších lokalit, v nichž </w:t>
      </w:r>
      <w:r w:rsidRPr="0041233D">
        <w:rPr>
          <w:rFonts w:ascii="Arial" w:hAnsi="Arial" w:cs="Arial"/>
          <w:b/>
          <w:sz w:val="24"/>
          <w:szCs w:val="24"/>
        </w:rPr>
        <w:t>„Studie odtokových poměrů včetně návrhů možných protipovodňových opatření na území města Olomouce“</w:t>
      </w:r>
      <w:r w:rsidRPr="0041233D">
        <w:rPr>
          <w:rFonts w:ascii="Arial" w:hAnsi="Arial" w:cs="Arial"/>
          <w:sz w:val="24"/>
          <w:szCs w:val="24"/>
        </w:rPr>
        <w:t xml:space="preserve"> navrhuje opatření, která zamezí nebo zmírní následky přívalových povodní. 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Kromě lokalit ohrožených plošným smyvem byly do studie rovněž zařazeny</w:t>
      </w:r>
      <w:r>
        <w:rPr>
          <w:rFonts w:ascii="Arial" w:hAnsi="Arial" w:cs="Arial"/>
          <w:sz w:val="24"/>
          <w:szCs w:val="24"/>
        </w:rPr>
        <w:br/>
      </w:r>
      <w:r w:rsidRPr="0041233D">
        <w:rPr>
          <w:rFonts w:ascii="Arial" w:hAnsi="Arial" w:cs="Arial"/>
          <w:sz w:val="24"/>
          <w:szCs w:val="24"/>
        </w:rPr>
        <w:t xml:space="preserve">i problémové vodní toky, na nichž se projevují povodně z přívalových srážek. Jedná se o tyto vodní toky: Adamovka, Nemilanka, Stouska a Křelovský potok. 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 xml:space="preserve">Kromě analytické a </w:t>
      </w:r>
      <w:r>
        <w:rPr>
          <w:rFonts w:ascii="Arial" w:hAnsi="Arial" w:cs="Arial"/>
          <w:sz w:val="24"/>
          <w:szCs w:val="24"/>
        </w:rPr>
        <w:t>návrhové části studie obsahuje</w:t>
      </w:r>
      <w:r w:rsidRPr="0041233D">
        <w:rPr>
          <w:rFonts w:ascii="Arial" w:hAnsi="Arial" w:cs="Arial"/>
          <w:sz w:val="24"/>
          <w:szCs w:val="24"/>
        </w:rPr>
        <w:t xml:space="preserve"> vyh</w:t>
      </w:r>
      <w:r>
        <w:rPr>
          <w:rFonts w:ascii="Arial" w:hAnsi="Arial" w:cs="Arial"/>
          <w:sz w:val="24"/>
          <w:szCs w:val="24"/>
        </w:rPr>
        <w:t xml:space="preserve">odnocení majetkoprávních vztahů </w:t>
      </w:r>
      <w:r w:rsidRPr="0041233D">
        <w:rPr>
          <w:rFonts w:ascii="Arial" w:hAnsi="Arial" w:cs="Arial"/>
          <w:sz w:val="24"/>
          <w:szCs w:val="24"/>
        </w:rPr>
        <w:t>a u lokalit, kde je z hlediska majetkoprávních vztahů předpoklad, že bude udělen souhlas vlastníka pozemku s realizací byly zpracovány koncepty dokumentací pro územní řízení.</w:t>
      </w:r>
      <w:r>
        <w:rPr>
          <w:rFonts w:ascii="Arial" w:hAnsi="Arial" w:cs="Arial"/>
          <w:sz w:val="24"/>
          <w:szCs w:val="24"/>
        </w:rPr>
        <w:t xml:space="preserve"> </w:t>
      </w:r>
      <w:r w:rsidRPr="0041233D">
        <w:rPr>
          <w:rFonts w:ascii="Arial" w:hAnsi="Arial" w:cs="Arial"/>
          <w:sz w:val="24"/>
          <w:szCs w:val="24"/>
        </w:rPr>
        <w:t>U ostatních opatření je nutné majetkové vztahy ještě dořešit s vlastníky pozemků.</w:t>
      </w:r>
    </w:p>
    <w:p w:rsidR="000A046F" w:rsidRPr="0041233D" w:rsidRDefault="000A046F" w:rsidP="00751161">
      <w:pPr>
        <w:spacing w:after="120" w:line="288" w:lineRule="auto"/>
        <w:jc w:val="both"/>
        <w:rPr>
          <w:rFonts w:ascii="Arial" w:hAnsi="Arial" w:cs="Arial"/>
          <w:b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Lokality, v nich jsou navrhována opatření, předkladatel z hlediska jejich realizovatelnosti rozdělil do dvou skupin:</w:t>
      </w:r>
    </w:p>
    <w:p w:rsidR="000A046F" w:rsidRPr="0041233D" w:rsidRDefault="000A046F" w:rsidP="0041233D">
      <w:pPr>
        <w:spacing w:before="120" w:after="60" w:line="288" w:lineRule="auto"/>
        <w:jc w:val="both"/>
        <w:rPr>
          <w:rFonts w:ascii="Arial" w:hAnsi="Arial" w:cs="Arial"/>
          <w:b/>
          <w:sz w:val="24"/>
          <w:szCs w:val="24"/>
        </w:rPr>
      </w:pPr>
      <w:r w:rsidRPr="0041233D">
        <w:rPr>
          <w:rFonts w:ascii="Arial" w:hAnsi="Arial" w:cs="Arial"/>
          <w:b/>
          <w:sz w:val="24"/>
          <w:szCs w:val="24"/>
        </w:rPr>
        <w:t>A – opatření realizovatelné v krátkodobém horizontu: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Svatý Kopeček – průleh a parkoviště u ZOO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Svatý Kopeček  - svodnice k ul. Pod Hvězdou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Opatření na vodním toku Adamovka  (dřevěné prahy, srubová překážka)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Lošov – svodnice k hvězdárně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Radíkov – svodnice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Droždín – svodnice</w:t>
      </w:r>
    </w:p>
    <w:p w:rsidR="000A046F" w:rsidRPr="0041233D" w:rsidRDefault="000A046F" w:rsidP="0041233D">
      <w:pPr>
        <w:spacing w:after="60" w:line="288" w:lineRule="auto"/>
        <w:ind w:left="448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Opatření na vodním toku Stouska (dřevěné prahy)</w:t>
      </w:r>
    </w:p>
    <w:p w:rsidR="000A046F" w:rsidRPr="0041233D" w:rsidRDefault="000A046F" w:rsidP="0041233D">
      <w:pPr>
        <w:spacing w:before="120" w:after="60" w:line="288" w:lineRule="auto"/>
        <w:jc w:val="both"/>
        <w:rPr>
          <w:rFonts w:ascii="Arial" w:hAnsi="Arial" w:cs="Arial"/>
          <w:b/>
          <w:sz w:val="24"/>
          <w:szCs w:val="24"/>
        </w:rPr>
      </w:pPr>
      <w:r w:rsidRPr="0041233D">
        <w:rPr>
          <w:rFonts w:ascii="Arial" w:hAnsi="Arial" w:cs="Arial"/>
          <w:b/>
          <w:sz w:val="24"/>
          <w:szCs w:val="24"/>
        </w:rPr>
        <w:t>B – opatření realizovatelné po dořešení majetkoprávních vztahů</w:t>
      </w:r>
    </w:p>
    <w:p w:rsidR="000A046F" w:rsidRPr="0041233D" w:rsidRDefault="000A046F" w:rsidP="0041233D">
      <w:pPr>
        <w:spacing w:after="60" w:line="288" w:lineRule="auto"/>
        <w:ind w:left="434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Revitalizace Křelovského potoku</w:t>
      </w:r>
    </w:p>
    <w:p w:rsidR="000A046F" w:rsidRPr="0041233D" w:rsidRDefault="000A046F" w:rsidP="0041233D">
      <w:pPr>
        <w:spacing w:after="60" w:line="288" w:lineRule="auto"/>
        <w:ind w:left="434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Poldr Pod Hvězdárnou a retenční prostor Zolova</w:t>
      </w:r>
    </w:p>
    <w:p w:rsidR="000A046F" w:rsidRPr="0041233D" w:rsidRDefault="000A046F" w:rsidP="0041233D">
      <w:pPr>
        <w:spacing w:before="120" w:after="60" w:line="288" w:lineRule="auto"/>
        <w:jc w:val="both"/>
        <w:rPr>
          <w:rFonts w:ascii="Arial" w:hAnsi="Arial" w:cs="Arial"/>
          <w:b/>
          <w:sz w:val="24"/>
          <w:szCs w:val="24"/>
        </w:rPr>
      </w:pPr>
      <w:r w:rsidRPr="0041233D">
        <w:rPr>
          <w:rFonts w:ascii="Arial" w:hAnsi="Arial" w:cs="Arial"/>
          <w:b/>
          <w:sz w:val="24"/>
          <w:szCs w:val="24"/>
        </w:rPr>
        <w:t>C – opatření, která nutno zakomponovat do strategických dokumentů</w:t>
      </w:r>
    </w:p>
    <w:p w:rsidR="000A046F" w:rsidRPr="0041233D" w:rsidRDefault="000A046F" w:rsidP="0041233D">
      <w:pPr>
        <w:tabs>
          <w:tab w:val="left" w:pos="434"/>
        </w:tabs>
        <w:spacing w:after="60" w:line="288" w:lineRule="auto"/>
        <w:ind w:left="420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Lošov – protierozní mez</w:t>
      </w:r>
    </w:p>
    <w:p w:rsidR="000A046F" w:rsidRPr="0041233D" w:rsidRDefault="000A046F" w:rsidP="0041233D">
      <w:pPr>
        <w:tabs>
          <w:tab w:val="left" w:pos="434"/>
        </w:tabs>
        <w:spacing w:after="60" w:line="288" w:lineRule="auto"/>
        <w:ind w:left="420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Radíkov -  gabionová přehrážka, průleh</w:t>
      </w:r>
    </w:p>
    <w:p w:rsidR="000A046F" w:rsidRPr="0041233D" w:rsidRDefault="000A046F" w:rsidP="0041233D">
      <w:pPr>
        <w:tabs>
          <w:tab w:val="left" w:pos="434"/>
        </w:tabs>
        <w:spacing w:after="60" w:line="288" w:lineRule="auto"/>
        <w:ind w:left="420"/>
        <w:jc w:val="both"/>
        <w:rPr>
          <w:rFonts w:ascii="Arial" w:hAnsi="Arial" w:cs="Arial"/>
        </w:rPr>
      </w:pPr>
      <w:r w:rsidRPr="0041233D">
        <w:rPr>
          <w:rFonts w:ascii="Arial" w:hAnsi="Arial" w:cs="Arial"/>
          <w:sz w:val="24"/>
          <w:szCs w:val="24"/>
        </w:rPr>
        <w:t>Levostranný přítok Nemilanky</w:t>
      </w:r>
    </w:p>
    <w:p w:rsidR="000A046F" w:rsidRDefault="000A046F" w:rsidP="0041233D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</w:p>
    <w:p w:rsidR="000A046F" w:rsidRPr="0041233D" w:rsidRDefault="000A046F" w:rsidP="0041233D">
      <w:pPr>
        <w:spacing w:after="120" w:line="288" w:lineRule="auto"/>
        <w:jc w:val="both"/>
        <w:rPr>
          <w:rFonts w:ascii="Arial" w:hAnsi="Arial" w:cs="Arial"/>
          <w:sz w:val="24"/>
          <w:szCs w:val="24"/>
        </w:rPr>
      </w:pPr>
      <w:r w:rsidRPr="0041233D">
        <w:rPr>
          <w:rFonts w:ascii="Arial" w:hAnsi="Arial" w:cs="Arial"/>
          <w:sz w:val="24"/>
          <w:szCs w:val="24"/>
        </w:rPr>
        <w:t>Zpraco</w:t>
      </w:r>
      <w:r>
        <w:rPr>
          <w:rFonts w:ascii="Arial" w:hAnsi="Arial" w:cs="Arial"/>
          <w:sz w:val="24"/>
          <w:szCs w:val="24"/>
        </w:rPr>
        <w:t>vání Studie odtokových poměrů bylo</w:t>
      </w:r>
      <w:r w:rsidRPr="0041233D">
        <w:rPr>
          <w:rFonts w:ascii="Arial" w:hAnsi="Arial" w:cs="Arial"/>
          <w:sz w:val="24"/>
          <w:szCs w:val="24"/>
        </w:rPr>
        <w:t xml:space="preserve"> spolufinancováno v rámci projektu „Studie odtokových poměrů včetně návrhů možných protipovodňových opatření na území města Olomouce“, registrační číslo CZ.05.1.24/0.0/0.0/16_035/0002203, z Operačního programu Životní prostředí 2014 – 2020 částkou </w:t>
      </w:r>
      <w:smartTag w:uri="urn:schemas-microsoft-com:office:smarttags" w:element="metricconverter">
        <w:smartTagPr>
          <w:attr w:name="ProductID" w:val="2,4 mil"/>
        </w:smartTagPr>
        <w:r w:rsidRPr="0041233D">
          <w:rPr>
            <w:rFonts w:ascii="Arial" w:hAnsi="Arial" w:cs="Arial"/>
            <w:sz w:val="24"/>
            <w:szCs w:val="24"/>
          </w:rPr>
          <w:t>2,4 mil</w:t>
        </w:r>
      </w:smartTag>
      <w:r w:rsidRPr="0041233D">
        <w:rPr>
          <w:rFonts w:ascii="Arial" w:hAnsi="Arial" w:cs="Arial"/>
          <w:sz w:val="24"/>
          <w:szCs w:val="24"/>
        </w:rPr>
        <w:t xml:space="preserve">. Kč. Studie </w:t>
      </w:r>
      <w:r>
        <w:rPr>
          <w:rFonts w:ascii="Arial" w:hAnsi="Arial" w:cs="Arial"/>
          <w:sz w:val="24"/>
          <w:szCs w:val="24"/>
        </w:rPr>
        <w:t xml:space="preserve">  </w:t>
      </w:r>
      <w:r w:rsidRPr="0041233D">
        <w:rPr>
          <w:rFonts w:ascii="Arial" w:hAnsi="Arial" w:cs="Arial"/>
          <w:sz w:val="24"/>
          <w:szCs w:val="24"/>
        </w:rPr>
        <w:t xml:space="preserve">by měla sloužit jako podklad pro následnou realizaci vybraných protipovodňových opatření. Všechna navrhovaná opatření by měla být financovatelná v rámci OPŽP. V novém programovém období 2021+ se předpokládá možnost čerpání dotací </w:t>
      </w:r>
      <w:r>
        <w:rPr>
          <w:rFonts w:ascii="Arial" w:hAnsi="Arial" w:cs="Arial"/>
          <w:sz w:val="24"/>
          <w:szCs w:val="24"/>
        </w:rPr>
        <w:t xml:space="preserve">       </w:t>
      </w:r>
      <w:r w:rsidRPr="0041233D">
        <w:rPr>
          <w:rFonts w:ascii="Arial" w:hAnsi="Arial" w:cs="Arial"/>
          <w:sz w:val="24"/>
          <w:szCs w:val="24"/>
        </w:rPr>
        <w:t xml:space="preserve">na protipovodňová opatření v obdobném rozsahu jako ve stávajícím období. </w:t>
      </w:r>
    </w:p>
    <w:p w:rsidR="000A046F" w:rsidRDefault="000A046F">
      <w:pPr>
        <w:sectPr w:rsidR="000A046F" w:rsidSect="0049326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46F" w:rsidRPr="00D01393" w:rsidRDefault="000A046F" w:rsidP="00C3265F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.95pt;margin-top:0;width:722.65pt;height:511.05pt;z-index:251659264">
            <v:imagedata r:id="rId5" o:title=""/>
          </v:shape>
        </w:pict>
      </w:r>
    </w:p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/>
    <w:p w:rsidR="000A046F" w:rsidRDefault="000A046F" w:rsidP="00C3265F">
      <w:r>
        <w:rPr>
          <w:noProof/>
          <w:lang w:eastAsia="cs-CZ"/>
        </w:rPr>
        <w:pict>
          <v:shape id="_x0000_s1027" type="#_x0000_t75" style="position:absolute;margin-left:-36pt;margin-top:-9pt;width:740.75pt;height:523.9pt;z-index:251660288">
            <v:imagedata r:id="rId6" o:title=""/>
          </v:shape>
        </w:pict>
      </w:r>
    </w:p>
    <w:p w:rsidR="000A046F" w:rsidRPr="00CD694E" w:rsidRDefault="000A046F" w:rsidP="00C3265F">
      <w:pPr>
        <w:sectPr w:rsidR="000A046F" w:rsidRPr="00CD694E" w:rsidSect="007B5EB2">
          <w:pgSz w:w="16838" w:h="11906" w:orient="landscape"/>
          <w:pgMar w:top="719" w:right="1417" w:bottom="1417" w:left="1417" w:header="708" w:footer="708" w:gutter="0"/>
          <w:cols w:space="708"/>
          <w:docGrid w:linePitch="360"/>
        </w:sectPr>
      </w:pPr>
    </w:p>
    <w:p w:rsidR="000A046F" w:rsidRDefault="000A046F" w:rsidP="00C3265F">
      <w:pPr>
        <w:rPr>
          <w:rFonts w:ascii="Arial" w:hAnsi="Arial" w:cs="Arial"/>
          <w:sz w:val="24"/>
          <w:szCs w:val="24"/>
        </w:rPr>
      </w:pPr>
      <w:r w:rsidRPr="00501078">
        <w:rPr>
          <w:rFonts w:ascii="Arial" w:hAnsi="Arial" w:cs="Arial"/>
          <w:sz w:val="24"/>
          <w:szCs w:val="24"/>
        </w:rPr>
        <w:t>Fotografie:</w:t>
      </w:r>
      <w:r>
        <w:rPr>
          <w:rFonts w:ascii="Arial" w:hAnsi="Arial" w:cs="Arial"/>
          <w:sz w:val="24"/>
          <w:szCs w:val="24"/>
        </w:rPr>
        <w:t xml:space="preserve"> Přívalové srážky ve Slavoníně – rok 2010.</w:t>
      </w:r>
    </w:p>
    <w:p w:rsidR="000A046F" w:rsidRDefault="000A046F" w:rsidP="00C3265F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pict>
          <v:shape id="_x0000_s1028" type="#_x0000_t75" style="position:absolute;margin-left:-27pt;margin-top:13.1pt;width:336pt;height:252pt;z-index:251655168">
            <v:imagedata r:id="rId7" o:title=""/>
          </v:shape>
        </w:pict>
      </w:r>
    </w:p>
    <w:p w:rsidR="000A046F" w:rsidRPr="00501078" w:rsidRDefault="000A046F" w:rsidP="00C3265F">
      <w:pPr>
        <w:rPr>
          <w:rFonts w:ascii="Arial" w:hAnsi="Arial" w:cs="Arial"/>
          <w:sz w:val="24"/>
          <w:szCs w:val="24"/>
        </w:rPr>
      </w:pPr>
    </w:p>
    <w:p w:rsidR="000A046F" w:rsidRDefault="000A046F" w:rsidP="00C3265F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>
      <w:r>
        <w:rPr>
          <w:noProof/>
          <w:lang w:eastAsia="cs-CZ"/>
        </w:rPr>
        <w:pict>
          <v:shape id="_x0000_s1029" type="#_x0000_t75" style="position:absolute;margin-left:-27pt;margin-top:7.95pt;width:342pt;height:256.35pt;z-index:251656192">
            <v:imagedata r:id="rId8" o:title=""/>
          </v:shape>
        </w:pict>
      </w:r>
    </w:p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Pr="007230FC" w:rsidRDefault="000A046F" w:rsidP="007230FC"/>
    <w:p w:rsidR="000A046F" w:rsidRDefault="000A046F" w:rsidP="007230FC"/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  <w:r>
        <w:rPr>
          <w:noProof/>
          <w:lang w:eastAsia="cs-CZ"/>
        </w:rPr>
        <w:pict>
          <v:shape id="_x0000_s1030" type="#_x0000_t75" style="position:absolute;left:0;text-align:left;margin-left:18pt;margin-top:13.5pt;width:353.25pt;height:264.8pt;z-index:251657216">
            <v:imagedata r:id="rId9" o:title=""/>
          </v:shape>
        </w:pict>
      </w: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Default="000A046F" w:rsidP="007230FC">
      <w:pPr>
        <w:jc w:val="center"/>
      </w:pPr>
    </w:p>
    <w:p w:rsidR="000A046F" w:rsidRPr="007230FC" w:rsidRDefault="000A046F" w:rsidP="007230FC">
      <w:pPr>
        <w:jc w:val="center"/>
      </w:pPr>
      <w:r>
        <w:rPr>
          <w:noProof/>
          <w:lang w:eastAsia="cs-CZ"/>
        </w:rPr>
        <w:pict>
          <v:shape id="_x0000_s1031" type="#_x0000_t75" style="position:absolute;left:0;text-align:left;margin-left:18pt;margin-top:189.05pt;width:5in;height:269.85pt;z-index:251658240">
            <v:imagedata r:id="rId10" o:title=""/>
          </v:shape>
        </w:pict>
      </w:r>
    </w:p>
    <w:sectPr w:rsidR="000A046F" w:rsidRPr="007230FC" w:rsidSect="00501078">
      <w:pgSz w:w="11906" w:h="16838"/>
      <w:pgMar w:top="899" w:right="72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D431E"/>
    <w:multiLevelType w:val="multilevel"/>
    <w:tmpl w:val="068EC49E"/>
    <w:lvl w:ilvl="0">
      <w:start w:val="1"/>
      <w:numFmt w:val="decimal"/>
      <w:pStyle w:val="Heading1"/>
      <w:lvlText w:val="%1"/>
      <w:lvlJc w:val="left"/>
      <w:pPr>
        <w:ind w:left="716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46F30F85"/>
    <w:multiLevelType w:val="hybridMultilevel"/>
    <w:tmpl w:val="AE14E08E"/>
    <w:lvl w:ilvl="0" w:tplc="3EFA5CD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2402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5C67213B"/>
    <w:multiLevelType w:val="hybridMultilevel"/>
    <w:tmpl w:val="1C4C1A2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AE7"/>
    <w:rsid w:val="00055204"/>
    <w:rsid w:val="00080F63"/>
    <w:rsid w:val="000861A9"/>
    <w:rsid w:val="0009430A"/>
    <w:rsid w:val="000A046F"/>
    <w:rsid w:val="000C7274"/>
    <w:rsid w:val="000E02CE"/>
    <w:rsid w:val="001076F8"/>
    <w:rsid w:val="001208CC"/>
    <w:rsid w:val="0013332B"/>
    <w:rsid w:val="00146FA7"/>
    <w:rsid w:val="00157CF1"/>
    <w:rsid w:val="001734BD"/>
    <w:rsid w:val="00176E6B"/>
    <w:rsid w:val="0017766E"/>
    <w:rsid w:val="001C0977"/>
    <w:rsid w:val="001E7FA8"/>
    <w:rsid w:val="002147F4"/>
    <w:rsid w:val="0022369C"/>
    <w:rsid w:val="002519E8"/>
    <w:rsid w:val="00282543"/>
    <w:rsid w:val="0029376D"/>
    <w:rsid w:val="002F0EC1"/>
    <w:rsid w:val="00301586"/>
    <w:rsid w:val="00304222"/>
    <w:rsid w:val="00312E10"/>
    <w:rsid w:val="00345E21"/>
    <w:rsid w:val="0034778B"/>
    <w:rsid w:val="0038035B"/>
    <w:rsid w:val="003B01A7"/>
    <w:rsid w:val="003D1F2D"/>
    <w:rsid w:val="0041233D"/>
    <w:rsid w:val="00432667"/>
    <w:rsid w:val="004547CD"/>
    <w:rsid w:val="00474DE0"/>
    <w:rsid w:val="00485273"/>
    <w:rsid w:val="00493262"/>
    <w:rsid w:val="004D0397"/>
    <w:rsid w:val="004E2F27"/>
    <w:rsid w:val="0050059A"/>
    <w:rsid w:val="00501078"/>
    <w:rsid w:val="0050472D"/>
    <w:rsid w:val="00552CDD"/>
    <w:rsid w:val="00582A8C"/>
    <w:rsid w:val="00586683"/>
    <w:rsid w:val="005A1A3B"/>
    <w:rsid w:val="005B3981"/>
    <w:rsid w:val="005E02E6"/>
    <w:rsid w:val="00600853"/>
    <w:rsid w:val="006363A5"/>
    <w:rsid w:val="0065350B"/>
    <w:rsid w:val="0069189C"/>
    <w:rsid w:val="006E57DE"/>
    <w:rsid w:val="00714100"/>
    <w:rsid w:val="007230FC"/>
    <w:rsid w:val="00723A19"/>
    <w:rsid w:val="0073020E"/>
    <w:rsid w:val="0073492C"/>
    <w:rsid w:val="00745D6F"/>
    <w:rsid w:val="00751161"/>
    <w:rsid w:val="0076021F"/>
    <w:rsid w:val="00762288"/>
    <w:rsid w:val="007742A2"/>
    <w:rsid w:val="007759AE"/>
    <w:rsid w:val="0078460F"/>
    <w:rsid w:val="007B5EB2"/>
    <w:rsid w:val="008738F0"/>
    <w:rsid w:val="008B5815"/>
    <w:rsid w:val="008C3AC8"/>
    <w:rsid w:val="008C6214"/>
    <w:rsid w:val="008E25D0"/>
    <w:rsid w:val="00901F5E"/>
    <w:rsid w:val="009161D9"/>
    <w:rsid w:val="009956B6"/>
    <w:rsid w:val="009A6754"/>
    <w:rsid w:val="009B0F66"/>
    <w:rsid w:val="009B6463"/>
    <w:rsid w:val="009D20FB"/>
    <w:rsid w:val="009D2975"/>
    <w:rsid w:val="009D4F44"/>
    <w:rsid w:val="009D685B"/>
    <w:rsid w:val="009E6A4E"/>
    <w:rsid w:val="00A06207"/>
    <w:rsid w:val="00A10F0B"/>
    <w:rsid w:val="00A1476B"/>
    <w:rsid w:val="00A45EE6"/>
    <w:rsid w:val="00A822A7"/>
    <w:rsid w:val="00A94BDB"/>
    <w:rsid w:val="00AA1220"/>
    <w:rsid w:val="00AB61B7"/>
    <w:rsid w:val="00B352E3"/>
    <w:rsid w:val="00B45EF7"/>
    <w:rsid w:val="00B558AC"/>
    <w:rsid w:val="00B6699C"/>
    <w:rsid w:val="00B73E8A"/>
    <w:rsid w:val="00BE6841"/>
    <w:rsid w:val="00C154F8"/>
    <w:rsid w:val="00C16E92"/>
    <w:rsid w:val="00C20A7B"/>
    <w:rsid w:val="00C3265F"/>
    <w:rsid w:val="00C404E2"/>
    <w:rsid w:val="00C656A2"/>
    <w:rsid w:val="00C72A98"/>
    <w:rsid w:val="00C94C26"/>
    <w:rsid w:val="00C96023"/>
    <w:rsid w:val="00CA273A"/>
    <w:rsid w:val="00CA6F6F"/>
    <w:rsid w:val="00CA7099"/>
    <w:rsid w:val="00CC0905"/>
    <w:rsid w:val="00CD694E"/>
    <w:rsid w:val="00D01393"/>
    <w:rsid w:val="00D10205"/>
    <w:rsid w:val="00D27623"/>
    <w:rsid w:val="00D74134"/>
    <w:rsid w:val="00D75B6C"/>
    <w:rsid w:val="00D817D9"/>
    <w:rsid w:val="00D94A73"/>
    <w:rsid w:val="00DB57B2"/>
    <w:rsid w:val="00DD3CD0"/>
    <w:rsid w:val="00E53877"/>
    <w:rsid w:val="00E72527"/>
    <w:rsid w:val="00E94AE7"/>
    <w:rsid w:val="00EB5F89"/>
    <w:rsid w:val="00EC24DA"/>
    <w:rsid w:val="00EE1DE8"/>
    <w:rsid w:val="00EF6DCF"/>
    <w:rsid w:val="00F222C9"/>
    <w:rsid w:val="00F55217"/>
    <w:rsid w:val="00F62B24"/>
    <w:rsid w:val="00F97FC5"/>
    <w:rsid w:val="00FD1517"/>
    <w:rsid w:val="00FD6033"/>
    <w:rsid w:val="00FF5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9376D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0F0B"/>
    <w:pPr>
      <w:keepNext/>
      <w:keepLines/>
      <w:numPr>
        <w:numId w:val="2"/>
      </w:numPr>
      <w:spacing w:before="240" w:after="0"/>
      <w:outlineLvl w:val="0"/>
    </w:pPr>
    <w:rPr>
      <w:rFonts w:ascii="Arial" w:eastAsia="Times New Roman" w:hAnsi="Arial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0F0B"/>
    <w:pPr>
      <w:keepNext/>
      <w:keepLines/>
      <w:numPr>
        <w:ilvl w:val="1"/>
        <w:numId w:val="2"/>
      </w:numPr>
      <w:spacing w:before="40" w:after="0"/>
      <w:outlineLvl w:val="1"/>
    </w:pPr>
    <w:rPr>
      <w:rFonts w:ascii="Arial" w:eastAsia="Times New Roman" w:hAnsi="Arial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0F0B"/>
    <w:pPr>
      <w:keepNext/>
      <w:keepLines/>
      <w:numPr>
        <w:ilvl w:val="2"/>
        <w:numId w:val="2"/>
      </w:numPr>
      <w:spacing w:before="40" w:after="0"/>
      <w:outlineLvl w:val="2"/>
    </w:pPr>
    <w:rPr>
      <w:rFonts w:ascii="Arial" w:eastAsia="Times New Roman" w:hAnsi="Arial"/>
      <w:b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4AE7"/>
    <w:pPr>
      <w:keepNext/>
      <w:keepLines/>
      <w:numPr>
        <w:ilvl w:val="3"/>
        <w:numId w:val="2"/>
      </w:numPr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4AE7"/>
    <w:pPr>
      <w:keepNext/>
      <w:keepLines/>
      <w:numPr>
        <w:ilvl w:val="4"/>
        <w:numId w:val="2"/>
      </w:numPr>
      <w:spacing w:before="40" w:after="0"/>
      <w:outlineLvl w:val="4"/>
    </w:pPr>
    <w:rPr>
      <w:rFonts w:ascii="Calibri Light" w:eastAsia="Times New Roman" w:hAnsi="Calibri Light"/>
      <w:color w:val="2F549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4AE7"/>
    <w:pPr>
      <w:keepNext/>
      <w:keepLines/>
      <w:numPr>
        <w:ilvl w:val="5"/>
        <w:numId w:val="2"/>
      </w:numPr>
      <w:spacing w:before="40" w:after="0"/>
      <w:outlineLvl w:val="5"/>
    </w:pPr>
    <w:rPr>
      <w:rFonts w:ascii="Calibri Light" w:eastAsia="Times New Roman" w:hAnsi="Calibri Light"/>
      <w:color w:val="1F3763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4AE7"/>
    <w:pPr>
      <w:keepNext/>
      <w:keepLines/>
      <w:numPr>
        <w:ilvl w:val="6"/>
        <w:numId w:val="2"/>
      </w:numPr>
      <w:spacing w:before="40" w:after="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94AE7"/>
    <w:pPr>
      <w:keepNext/>
      <w:keepLines/>
      <w:numPr>
        <w:ilvl w:val="7"/>
        <w:numId w:val="2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4AE7"/>
    <w:pPr>
      <w:keepNext/>
      <w:keepLines/>
      <w:numPr>
        <w:ilvl w:val="8"/>
        <w:numId w:val="2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0F0B"/>
    <w:rPr>
      <w:rFonts w:ascii="Arial" w:hAnsi="Arial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10F0B"/>
    <w:rPr>
      <w:rFonts w:ascii="Arial" w:hAnsi="Arial" w:cs="Times New Roman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10F0B"/>
    <w:rPr>
      <w:rFonts w:ascii="Arial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94AE7"/>
    <w:rPr>
      <w:rFonts w:ascii="Calibri Light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94AE7"/>
    <w:rPr>
      <w:rFonts w:ascii="Calibri Light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94AE7"/>
    <w:rPr>
      <w:rFonts w:ascii="Calibri Light" w:hAnsi="Calibri Light" w:cs="Times New Roman"/>
      <w:color w:val="1F3763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94AE7"/>
    <w:rPr>
      <w:rFonts w:ascii="Calibri Light" w:hAnsi="Calibri Light" w:cs="Times New Roman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94AE7"/>
    <w:rPr>
      <w:rFonts w:ascii="Calibri Light" w:hAnsi="Calibri Light" w:cs="Times New Roma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94AE7"/>
    <w:rPr>
      <w:rFonts w:ascii="Calibri Light" w:hAnsi="Calibri Light" w:cs="Times New Roman"/>
      <w:i/>
      <w:iCs/>
      <w:color w:val="272727"/>
      <w:sz w:val="21"/>
      <w:szCs w:val="21"/>
    </w:rPr>
  </w:style>
  <w:style w:type="paragraph" w:styleId="ListParagraph">
    <w:name w:val="List Paragraph"/>
    <w:basedOn w:val="Normal"/>
    <w:uiPriority w:val="99"/>
    <w:qFormat/>
    <w:rsid w:val="00E94AE7"/>
    <w:pPr>
      <w:ind w:left="720"/>
      <w:contextualSpacing/>
    </w:pPr>
  </w:style>
  <w:style w:type="table" w:styleId="TableGrid">
    <w:name w:val="Table Grid"/>
    <w:basedOn w:val="TableNormal"/>
    <w:uiPriority w:val="99"/>
    <w:rsid w:val="007846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F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556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558AC"/>
    <w:pPr>
      <w:spacing w:after="0" w:line="240" w:lineRule="auto"/>
      <w:jc w:val="both"/>
    </w:pPr>
    <w:rPr>
      <w:rFonts w:ascii="Times New Roman" w:hAnsi="Times New Roman"/>
      <w:sz w:val="24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B3981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6</Pages>
  <Words>472</Words>
  <Characters>2787</Characters>
  <Application>Microsoft Office Outlook</Application>
  <DocSecurity>0</DocSecurity>
  <Lines>0</Lines>
  <Paragraphs>0</Paragraphs>
  <ScaleCrop>false</ScaleCrop>
  <Company>MMOL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 k projektu „Studie odtokových poměrů včetně návrhů možných protipovodňových opatření na území města Olomouce“</dc:title>
  <dc:subject/>
  <dc:creator>Necesankova</dc:creator>
  <cp:keywords/>
  <dc:description/>
  <cp:lastModifiedBy>faljo</cp:lastModifiedBy>
  <cp:revision>7</cp:revision>
  <cp:lastPrinted>2019-07-10T09:11:00Z</cp:lastPrinted>
  <dcterms:created xsi:type="dcterms:W3CDTF">2019-10-03T12:55:00Z</dcterms:created>
  <dcterms:modified xsi:type="dcterms:W3CDTF">2020-01-13T12:20:00Z</dcterms:modified>
</cp:coreProperties>
</file>